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color w:val="ff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4591050</wp:posOffset>
            </wp:positionH>
            <wp:positionV relativeFrom="paragraph">
              <wp:posOffset>0</wp:posOffset>
            </wp:positionV>
            <wp:extent cx="1571625" cy="1085850"/>
            <wp:effectExtent b="0" l="0" r="0" t="0"/>
            <wp:wrapSquare wrapText="bothSides" distB="57150" distT="57150" distL="57150" distR="57150"/>
            <wp:docPr descr="Bulldog w red outline.png" id="1" name="image2.png"/>
            <a:graphic>
              <a:graphicData uri="http://schemas.openxmlformats.org/drawingml/2006/picture">
                <pic:pic>
                  <pic:nvPicPr>
                    <pic:cNvPr descr="Bulldog w red outline.png" id="0" name="image2.png"/>
                    <pic:cNvPicPr preferRelativeResize="0"/>
                  </pic:nvPicPr>
                  <pic:blipFill>
                    <a:blip r:embed="rId5"/>
                    <a:srcRect b="0" l="0" r="0" t="0"/>
                    <a:stretch>
                      <a:fillRect/>
                    </a:stretch>
                  </pic:blipFill>
                  <pic:spPr>
                    <a:xfrm>
                      <a:off x="0" y="0"/>
                      <a:ext cx="1571625" cy="108585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color w:val="ff0000"/>
          <w:sz w:val="36"/>
          <w:szCs w:val="36"/>
          <w:rtl w:val="0"/>
        </w:rPr>
        <w:t xml:space="preserve">WILSON HIGH SCHOOL</w:t>
      </w:r>
      <w:r w:rsidDel="00000000" w:rsidR="00000000" w:rsidRPr="00000000">
        <w:rPr>
          <w:rFonts w:ascii="Cambria" w:cs="Cambria" w:eastAsia="Cambria" w:hAnsi="Cambria"/>
          <w:color w:val="ff0000"/>
          <w:sz w:val="36"/>
          <w:szCs w:val="36"/>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Honors English 11</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Course Overview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80" w:line="240" w:lineRule="auto"/>
        <w:contextualSpacing w:val="0"/>
        <w:jc w:val="both"/>
        <w:rPr>
          <w:rFonts w:ascii="Cambria" w:cs="Cambria" w:eastAsia="Cambria" w:hAnsi="Cambria"/>
        </w:rPr>
      </w:pPr>
      <w:r w:rsidDel="00000000" w:rsidR="00000000" w:rsidRPr="00000000">
        <w:rPr>
          <w:rFonts w:ascii="Cambria" w:cs="Cambria" w:eastAsia="Cambria" w:hAnsi="Cambria"/>
          <w:highlight w:val="white"/>
          <w:rtl w:val="0"/>
        </w:rPr>
        <w:t xml:space="preserve">Honors English 11 is designed for highly motivated juniors with above-average ability. To succeed in this course, a student must be capable of substantial independent study and must spend approximately one hour out of class for each hour in class. In addition to intelligence and diligence, prerequisites for success include self-discipline, initiative, and the ability to budget time. Students are expected to demonstrate above-average writing skills and to have mastered all the basics of English grammar and mechanics. In addition, students are expected to complete and comprehend frequent, lengthy, independent reading assignments in American literature. Class discussion and vocabulary study are also integral components of the course and a research paper is required of all students. A summer reading list will be distributed in May; required works must be completed by the date of the first class meeting in August.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Year Long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Prerequisites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Topics of Study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Summer reading (four major works)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The Scarlet Letter </w:t>
      </w:r>
      <w:r w:rsidDel="00000000" w:rsidR="00000000" w:rsidRPr="00000000">
        <w:rPr>
          <w:sz w:val="20"/>
          <w:szCs w:val="20"/>
          <w:rtl w:val="0"/>
        </w:rPr>
        <w:t xml:space="preserve">by Nathaniel Hawthorne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The Crucible </w:t>
      </w:r>
      <w:r w:rsidDel="00000000" w:rsidR="00000000" w:rsidRPr="00000000">
        <w:rPr>
          <w:sz w:val="20"/>
          <w:szCs w:val="20"/>
          <w:rtl w:val="0"/>
        </w:rPr>
        <w:t xml:space="preserve">by Arthur Miller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Walden </w:t>
      </w:r>
      <w:r w:rsidDel="00000000" w:rsidR="00000000" w:rsidRPr="00000000">
        <w:rPr>
          <w:sz w:val="20"/>
          <w:szCs w:val="20"/>
          <w:rtl w:val="0"/>
        </w:rPr>
        <w:t xml:space="preserve">by Henry David Thoreau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Ethan Frome </w:t>
      </w:r>
      <w:r w:rsidDel="00000000" w:rsidR="00000000" w:rsidRPr="00000000">
        <w:rPr>
          <w:sz w:val="20"/>
          <w:szCs w:val="20"/>
          <w:rtl w:val="0"/>
        </w:rPr>
        <w:t xml:space="preserve">by Edith Wharton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i w:val="1"/>
          <w:sz w:val="20"/>
          <w:szCs w:val="20"/>
          <w:rtl w:val="0"/>
        </w:rPr>
        <w:t xml:space="preserve">The Great Gatsby </w:t>
      </w:r>
      <w:r w:rsidDel="00000000" w:rsidR="00000000" w:rsidRPr="00000000">
        <w:rPr>
          <w:sz w:val="20"/>
          <w:szCs w:val="20"/>
          <w:rtl w:val="0"/>
        </w:rPr>
        <w:t xml:space="preserve">by F. Scott Fitzgerald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The Old Man and the Sea </w:t>
      </w:r>
      <w:r w:rsidDel="00000000" w:rsidR="00000000" w:rsidRPr="00000000">
        <w:rPr>
          <w:sz w:val="20"/>
          <w:szCs w:val="20"/>
          <w:rtl w:val="0"/>
        </w:rPr>
        <w:t xml:space="preserve">by Ernest Hemingway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Slaughterhouse Five </w:t>
      </w:r>
      <w:r w:rsidDel="00000000" w:rsidR="00000000" w:rsidRPr="00000000">
        <w:rPr>
          <w:sz w:val="20"/>
          <w:szCs w:val="20"/>
          <w:rtl w:val="0"/>
        </w:rPr>
        <w:t xml:space="preserve">by Kurt Vonnegut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The Chosen </w:t>
      </w:r>
      <w:r w:rsidDel="00000000" w:rsidR="00000000" w:rsidRPr="00000000">
        <w:rPr>
          <w:sz w:val="20"/>
          <w:szCs w:val="20"/>
          <w:rtl w:val="0"/>
        </w:rPr>
        <w:t xml:space="preserve">by Chaim Potok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Fahrenheit 451 </w:t>
      </w:r>
      <w:r w:rsidDel="00000000" w:rsidR="00000000" w:rsidRPr="00000000">
        <w:rPr>
          <w:sz w:val="20"/>
          <w:szCs w:val="20"/>
          <w:rtl w:val="0"/>
        </w:rPr>
        <w:t xml:space="preserve">by Ray Bradbury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A Streetcar Named Desire </w:t>
      </w:r>
      <w:r w:rsidDel="00000000" w:rsidR="00000000" w:rsidRPr="00000000">
        <w:rPr>
          <w:sz w:val="20"/>
          <w:szCs w:val="20"/>
          <w:rtl w:val="0"/>
        </w:rPr>
        <w:t xml:space="preserve">by Tennessee Williams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A Raisin in the Sun </w:t>
      </w:r>
      <w:r w:rsidDel="00000000" w:rsidR="00000000" w:rsidRPr="00000000">
        <w:rPr>
          <w:sz w:val="20"/>
          <w:szCs w:val="20"/>
          <w:rtl w:val="0"/>
        </w:rPr>
        <w:t xml:space="preserve">by Lorraine Hansberry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i w:val="1"/>
          <w:sz w:val="20"/>
          <w:szCs w:val="20"/>
          <w:rtl w:val="0"/>
        </w:rPr>
        <w:t xml:space="preserve">The Things They Carried</w:t>
      </w:r>
      <w:r w:rsidDel="00000000" w:rsidR="00000000" w:rsidRPr="00000000">
        <w:rPr>
          <w:sz w:val="20"/>
          <w:szCs w:val="20"/>
          <w:rtl w:val="0"/>
        </w:rPr>
        <w:t xml:space="preserve"> by Tim O’Brien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Grammar (problem areas-an integrated approach)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0"/>
          <w:szCs w:val="20"/>
        </w:rPr>
      </w:pPr>
      <w:r w:rsidDel="00000000" w:rsidR="00000000" w:rsidRPr="00000000">
        <w:rPr>
          <w:sz w:val="20"/>
          <w:szCs w:val="20"/>
          <w:rtl w:val="0"/>
        </w:rPr>
        <w:t xml:space="preserve">Vocabulary - </w:t>
      </w:r>
      <w:r w:rsidDel="00000000" w:rsidR="00000000" w:rsidRPr="00000000">
        <w:rPr>
          <w:i w:val="1"/>
          <w:sz w:val="20"/>
          <w:szCs w:val="20"/>
          <w:rtl w:val="0"/>
        </w:rPr>
        <w:t xml:space="preserve">Everyday Words from Greek and Latin Origins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Twenty short stories (with emphasis on literary terminology)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Non-fiction pieces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Poetry (in-depth study of Emily Dickinson, Langston Hughes and  Robert Frost)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Literary criticism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Writing about writing (improving craft and technique)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Journal response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Literary analysis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Research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Persuasive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Resouces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0"/>
          <w:szCs w:val="20"/>
        </w:rPr>
      </w:pPr>
      <w:r w:rsidDel="00000000" w:rsidR="00000000" w:rsidRPr="00000000">
        <w:rPr>
          <w:b w:val="1"/>
          <w:i w:val="1"/>
          <w:sz w:val="20"/>
          <w:szCs w:val="20"/>
          <w:rtl w:val="0"/>
        </w:rPr>
        <w:t xml:space="preserve">Prentice Hall Literature: The American Experience                      </w:t>
        <w:tab/>
        <w:t xml:space="preserve">                                                                           The Bedford Introduction to Literature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0"/>
          <w:szCs w:val="20"/>
        </w:rPr>
      </w:pPr>
      <w:r w:rsidDel="00000000" w:rsidR="00000000" w:rsidRPr="00000000">
        <w:rPr>
          <w:b w:val="1"/>
          <w:i w:val="1"/>
          <w:sz w:val="20"/>
          <w:szCs w:val="20"/>
          <w:rtl w:val="0"/>
        </w:rPr>
        <w:t xml:space="preserve">The Bedford Guide for College Writers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Purdue OWL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Methods of Assessment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b w:val="1"/>
          <w:rtl w:val="0"/>
        </w:rPr>
        <w:t xml:space="preserve">Quarter grades </w:t>
      </w:r>
      <w:r w:rsidDel="00000000" w:rsidR="00000000" w:rsidRPr="00000000">
        <w:rPr>
          <w:rtl w:val="0"/>
        </w:rPr>
        <w:t xml:space="preserve">are reported as percentages and </w:t>
      </w:r>
      <w:r w:rsidDel="00000000" w:rsidR="00000000" w:rsidRPr="00000000">
        <w:rPr>
          <w:b w:val="1"/>
          <w:rtl w:val="0"/>
        </w:rPr>
        <w:t xml:space="preserve">are weigh</w:t>
      </w:r>
      <w:r w:rsidDel="00000000" w:rsidR="00000000" w:rsidRPr="00000000">
        <w:rPr>
          <w:rtl w:val="0"/>
        </w:rPr>
        <w:t xml:space="preserve">ted at 1.1  when determining a student’s Grade Point Average (e.g. a course grade of 80% becomes 88% in calculating a student’s  overall Grade Point Average).  </w:t>
      </w:r>
      <w:r w:rsidDel="00000000" w:rsidR="00000000" w:rsidRPr="00000000">
        <w:rPr>
          <w:b w:val="1"/>
          <w:rtl w:val="0"/>
        </w:rPr>
        <w:t xml:space="preserve">However, grades for individual quizzes, tests, and writing assignments are NOT weighted, but instead reflect excellent, good, average, and below average performances </w:t>
      </w:r>
      <w:r w:rsidDel="00000000" w:rsidR="00000000" w:rsidRPr="00000000">
        <w:rPr>
          <w:b w:val="1"/>
          <w:u w:val="single"/>
          <w:rtl w:val="0"/>
        </w:rPr>
        <w:t xml:space="preserve">at the Honors level</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rPr>
      </w:pPr>
      <w:r w:rsidDel="00000000" w:rsidR="00000000" w:rsidRPr="00000000">
        <w:rPr>
          <w:rFonts w:ascii="Cambria" w:cs="Cambria" w:eastAsia="Cambria" w:hAnsi="Cambria"/>
          <w:b w:val="1"/>
          <w:rtl w:val="0"/>
        </w:rPr>
        <w:t xml:space="preserve">Summative Assessments = 80%</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Formative Assessments= 20%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headerReference r:id="rId6"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