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color w:val="ff0000"/>
          <w:sz w:val="36"/>
          <w:szCs w:val="36"/>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4591050</wp:posOffset>
            </wp:positionH>
            <wp:positionV relativeFrom="paragraph">
              <wp:posOffset>0</wp:posOffset>
            </wp:positionV>
            <wp:extent cx="1571625" cy="1085850"/>
            <wp:effectExtent b="0" l="0" r="0" t="0"/>
            <wp:wrapSquare wrapText="bothSides" distB="57150" distT="57150" distL="57150" distR="57150"/>
            <wp:docPr descr="Bulldog w red outline.png" id="1" name="image2.png"/>
            <a:graphic>
              <a:graphicData uri="http://schemas.openxmlformats.org/drawingml/2006/picture">
                <pic:pic>
                  <pic:nvPicPr>
                    <pic:cNvPr descr="Bulldog w red outline.png" id="0" name="image2.png"/>
                    <pic:cNvPicPr preferRelativeResize="0"/>
                  </pic:nvPicPr>
                  <pic:blipFill>
                    <a:blip r:embed="rId5"/>
                    <a:srcRect b="0" l="0" r="0" t="0"/>
                    <a:stretch>
                      <a:fillRect/>
                    </a:stretch>
                  </pic:blipFill>
                  <pic:spPr>
                    <a:xfrm>
                      <a:off x="0" y="0"/>
                      <a:ext cx="1571625" cy="1085850"/>
                    </a:xfrm>
                    <a:prstGeom prst="rect"/>
                    <a:ln/>
                  </pic:spPr>
                </pic:pic>
              </a:graphicData>
            </a:graphic>
          </wp:anchor>
        </w:drawing>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color w:val="ff0000"/>
          <w:sz w:val="36"/>
          <w:szCs w:val="36"/>
          <w:rtl w:val="0"/>
        </w:rPr>
        <w:t xml:space="preserve">WILSON HIGH SCHOOL</w:t>
      </w:r>
      <w:r w:rsidDel="00000000" w:rsidR="00000000" w:rsidRPr="00000000">
        <w:rPr>
          <w:rFonts w:ascii="Cambria" w:cs="Cambria" w:eastAsia="Cambria" w:hAnsi="Cambria"/>
          <w:color w:val="ff0000"/>
          <w:sz w:val="36"/>
          <w:szCs w:val="36"/>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College Prep English 9</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Course Overview</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80" w:line="24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CP English 9 </w:t>
      </w:r>
      <w:r w:rsidDel="00000000" w:rsidR="00000000" w:rsidRPr="00000000">
        <w:rPr>
          <w:rFonts w:ascii="Cambria" w:cs="Cambria" w:eastAsia="Cambria" w:hAnsi="Cambria"/>
          <w:rtl w:val="0"/>
        </w:rPr>
        <w:t xml:space="preserve">is a literature-based course. Students strengthen their vocabulary skills; their speaking, listening, and writing skills; their grammar and usage skills; and their understanding and appreciation of various types of literature, including the novel. This course will provide students with the skills that are necessary to succeed in the college prep high school English programs.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Duration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Year Long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Prerequisites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None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Topics of Study</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American Dream</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Short Stories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Utopian Societies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Effective Leadership</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Coming of Age</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Grammar - Sentence structure and punctuation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ab/>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Resources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b w:val="1"/>
          <w:sz w:val="24"/>
          <w:szCs w:val="24"/>
        </w:rPr>
      </w:pPr>
      <w:r w:rsidDel="00000000" w:rsidR="00000000" w:rsidRPr="00000000">
        <w:rPr>
          <w:rFonts w:ascii="Cambria" w:cs="Cambria" w:eastAsia="Cambria" w:hAnsi="Cambria"/>
          <w:i w:val="1"/>
          <w:sz w:val="24"/>
          <w:szCs w:val="24"/>
          <w:rtl w:val="0"/>
        </w:rPr>
        <w:t xml:space="preserve">Romeo and Juliet,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Of Mice and Men,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Animal Farm,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Lord of the Flies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Short Stories</w:t>
      </w:r>
      <w:r w:rsidDel="00000000" w:rsidR="00000000" w:rsidRPr="00000000">
        <w:rPr>
          <w:rtl w:val="0"/>
        </w:rPr>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Teacher websites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Google Classroom</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Methods of Assessment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firstLine="36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Summative Assessments = 70%</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Persuasive Essays</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Novel unit Tests</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Historical context Projects</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Informative speeches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firstLine="36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Other = 30%</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Vocabulary Quizzes, </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Reading comprehension quizzes</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 Formative writing assessments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276"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sectPr>
      <w:headerReference r:id="rId6" w:type="default"/>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