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color w:val="ff0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4591050</wp:posOffset>
            </wp:positionH>
            <wp:positionV relativeFrom="paragraph">
              <wp:posOffset>0</wp:posOffset>
            </wp:positionV>
            <wp:extent cx="1571625" cy="1085850"/>
            <wp:effectExtent b="0" l="0" r="0" t="0"/>
            <wp:wrapSquare wrapText="bothSides" distB="57150" distT="57150" distL="57150" distR="57150"/>
            <wp:docPr descr="Bulldog w red outline.png" id="1" name="image2.png"/>
            <a:graphic>
              <a:graphicData uri="http://schemas.openxmlformats.org/drawingml/2006/picture">
                <pic:pic>
                  <pic:nvPicPr>
                    <pic:cNvPr descr="Bulldog w red outline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85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36"/>
          <w:szCs w:val="36"/>
          <w:rtl w:val="0"/>
        </w:rPr>
        <w:t xml:space="preserve">WILSON HIGH SCHOOL</w:t>
      </w:r>
      <w:r w:rsidDel="00000000" w:rsidR="00000000" w:rsidRPr="00000000">
        <w:rPr>
          <w:rFonts w:ascii="Cambria" w:cs="Cambria" w:eastAsia="Cambria" w:hAnsi="Cambria"/>
          <w:color w:val="ff0000"/>
          <w:sz w:val="36"/>
          <w:szCs w:val="36"/>
          <w:rtl w:val="0"/>
        </w:rPr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AP Seminar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Course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line="240" w:lineRule="auto"/>
        <w:contextualSpacing w:val="0"/>
        <w:jc w:val="both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AP Seminar, which is the first research and writing course in the AP Capstone program, is an inquiry-based writing and research course that seeks to engage students, both in groups and individually, in cross-curricular conversations and research that explore real world topics from multiple perspectives. Students are learn to analyze and evaluate texts with accuracy and precision to effectively write and present evidence-based arguments. AP Seminar culminates with two (2) Performance-based tasks (one group paper and presentation and one individual paper and presentation) and one (1) traditional AP Written Exam.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Duration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Year Long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Prerequisites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None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Topics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1:  Introduction to Research Methods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2 – Education and Argument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3 – Identity and Questioning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4 – Power and Debate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5 – Performance Assessment Task #1 Team Project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6 – Performance Assessment Task #2 Individual Essay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7 – Performance Assessment Task #3 End of Course Exam 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mbria" w:cs="Cambria" w:eastAsia="Cambria" w:hAnsi="Cambria"/>
          <w:b w:val="1"/>
          <w:sz w:val="22"/>
          <w:szCs w:val="22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Unit 8 - Individual Research Exigence and Preparation for AP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Resources: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Google classroom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Anchor Texts: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Jacobus, Lee A. (2013).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World of Ideas: Essential Readings for College Writers.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Boston: 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Wood, Nancy V (2011).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Essentials of Argument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(3rd Edition). Glenview, IL:  Pearson.Barnet,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Enrichment Texts: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Sylvan and Hugo Bedau (2014).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Current Issues and Enduring Questions: A Guide to Critical Thinking and Argument, with Readings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(10th ed.)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New York: Bedford/St. Martins.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Chaffe, John (2008).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Critical Thinking, Thoughtful Writing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(6th ed.). Belmont, CA: Centage Learning.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Johnson, June (2014).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Global Issues, Local Arguments: Readings for Writing.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 New York: Pearson.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720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Palmquist, Mike (2012).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Bedford Researcher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(4th ed). Boston, MA: Bedford/St. Martins.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/>
        <w:contextualSpacing w:val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Fonts w:ascii="Cambria" w:cs="Cambria" w:eastAsia="Cambria" w:hAnsi="Cambria"/>
          <w:sz w:val="23"/>
          <w:szCs w:val="23"/>
          <w:rtl w:val="0"/>
        </w:rPr>
        <w:t xml:space="preserve">Various articles and academic resources for specific lessons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720"/>
        <w:contextualSpacing w:val="0"/>
        <w:rPr>
          <w:rFonts w:ascii="Cambria" w:cs="Cambria" w:eastAsia="Cambria" w:hAnsi="Cambri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Methods of Assessment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Summative Assessments = 90%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Argument Analysis, Argument Research essay, Presentations, Discussion, Oral Defense, Reflection, and Group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firstLine="36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Other = 10%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ind w:left="1080" w:hanging="360"/>
        <w:contextualSpacing w:val="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Reading Responses, Discussion techniques, Reading annotations,  Peer review/workshop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080" w:left="1080" w:right="10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/Relationships>
</file>